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IN.SE.CON 2025 </w:t>
      </w:r>
      <w:proofErr w:type="spellStart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Concluded</w:t>
      </w:r>
      <w:proofErr w:type="spellEnd"/>
    </w:p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Over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2,000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participants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from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several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countries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dozens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hours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debates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and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speeches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strategic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declarations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and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cutting-edge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technologies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ensuring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data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security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–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second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edition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the International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Cybersecurity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Congress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IN.SE.CON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now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behind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us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.</w:t>
      </w:r>
    </w:p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On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April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2–3, in Poznań, one of Central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Europe’s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most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important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congresses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dedicated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to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cybersecurity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and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technological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innovations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for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digital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infrastructure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security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took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place,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organized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by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Ministry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National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Defence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and the MTP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Group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.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This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year’s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edition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IN.SE.CON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gathered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over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2,000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attendees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: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representatives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public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administration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armed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forces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academia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business, and the media.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Among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international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guests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were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delegates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from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several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countries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including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Belgium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France, Germany, the United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States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Italy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and the United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Kingdom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.</w:t>
      </w:r>
    </w:p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proofErr w:type="spellStart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Cybersecurity</w:t>
      </w:r>
      <w:proofErr w:type="spellEnd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as a </w:t>
      </w:r>
      <w:proofErr w:type="spellStart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Pillar</w:t>
      </w:r>
      <w:proofErr w:type="spellEnd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of the </w:t>
      </w:r>
      <w:proofErr w:type="spellStart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State</w:t>
      </w:r>
      <w:proofErr w:type="spellEnd"/>
    </w:p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Congress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was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opened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by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government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officials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: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Deputy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Minister of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National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Defence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Cezary Tomczyk,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Deputy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Prime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Minister and Minister of Digital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Affairs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Krzysztof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Gawkowski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and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Undersecretary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State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Ministry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Development and Technology Tomasz Lewandowski. One of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key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moments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was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announcement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Poland’s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Cybersecurity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Strategy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for 2025–2029,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which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includes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record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investments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in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digital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infrastructure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security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the development of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CSIRTs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IT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specialist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training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and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digital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education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in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local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governments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schools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and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businesses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.</w:t>
      </w:r>
    </w:p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proofErr w:type="spellStart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Poland’s</w:t>
      </w:r>
      <w:proofErr w:type="spellEnd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Cyber</w:t>
      </w:r>
      <w:proofErr w:type="spellEnd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Army</w:t>
      </w:r>
      <w:proofErr w:type="spellEnd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at</w:t>
      </w:r>
      <w:proofErr w:type="spellEnd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the Forefront of NATO</w:t>
      </w:r>
    </w:p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The event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strongly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emphasized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the role of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Polish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Cyberspace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Defence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Forces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highlighted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by Major General Karol Molenda, Commander of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Cyber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Defence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Component. Paweł Dziuba,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Director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Cybersecurity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Department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Ministry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National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Defence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and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main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organizer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on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behalf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Ministry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underlined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significance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this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type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congress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on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international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cybersecurity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stage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and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encouraged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participation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in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next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edition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– IN.SE.CON 2026.</w:t>
      </w:r>
    </w:p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As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Deputy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Minister Tomczyk,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Government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Plenipotentiary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for Cyberspace Security,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remarked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:</w:t>
      </w: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br/>
      </w:r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“The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biggest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paradox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we face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is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that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the war we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observe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on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our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eastern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border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is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simultaneously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happening in the 20th and 21st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centuries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. On one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hand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, we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see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everything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we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remember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from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history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–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trenches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anti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-tank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ditches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armored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clashes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– and on the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other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, we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have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all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the modern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elements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of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today’s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battlefield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: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cybersecurity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drones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anti-drone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systems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optoelectronics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–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warfare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on a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completely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different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level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. IN.SE.CON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is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being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organized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for the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second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time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, but we want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it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to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become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a permanent event –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rooted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here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in Poznań and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at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the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fairgrounds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.”</w:t>
      </w:r>
    </w:p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lastRenderedPageBreak/>
        <w:t xml:space="preserve">AI, </w:t>
      </w:r>
      <w:proofErr w:type="spellStart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Disinformation</w:t>
      </w:r>
      <w:proofErr w:type="spellEnd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, and International </w:t>
      </w:r>
      <w:proofErr w:type="spellStart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Cooperation</w:t>
      </w:r>
      <w:proofErr w:type="spellEnd"/>
    </w:p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congress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program was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rich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with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panels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and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discussions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addressing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latest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technological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challenges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– with a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particular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focus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on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artificial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intelligence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which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was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subject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several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debates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.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Participants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explored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both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opportunities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and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threats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posed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by AI,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including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impact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generative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AI on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cybersecurity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new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attack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vectors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and regulatory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challenges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.</w:t>
      </w:r>
    </w:p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Speakers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included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representatives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from NATO, the Cyberspace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Defence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Forces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NASK, and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Polish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academic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and startup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communities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.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Expert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panels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addressed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issues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such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as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critical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infrastructure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cyber-resilience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combating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manipulative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cybercrime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and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building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public trust in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digital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solutions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.</w:t>
      </w:r>
    </w:p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"Poland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will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become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the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capital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of the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cybersecurity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debate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, and Poznań –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its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host. The IN.SE.CON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Congress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will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be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our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digital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heart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connecting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 the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military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 xml:space="preserve">, business, and </w:t>
      </w:r>
      <w:proofErr w:type="spellStart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citizens</w:t>
      </w:r>
      <w:proofErr w:type="spellEnd"/>
      <w:r w:rsidRPr="00F13C83">
        <w:rPr>
          <w:rFonts w:ascii="Segoe UI" w:eastAsia="Times New Roman" w:hAnsi="Segoe UI" w:cs="Segoe UI"/>
          <w:i/>
          <w:iCs/>
          <w:sz w:val="24"/>
          <w:szCs w:val="24"/>
          <w:lang w:eastAsia="pl-PL"/>
        </w:rPr>
        <w:t>,”</w:t>
      </w: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declared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Deputy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Prime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Minister and Minister of Digital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Affairs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Krzysztof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Gawkowski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during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opening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.</w:t>
      </w:r>
    </w:p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proofErr w:type="spellStart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Toward</w:t>
      </w:r>
      <w:proofErr w:type="spellEnd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Tomorrow’s</w:t>
      </w:r>
      <w:proofErr w:type="spellEnd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Security</w:t>
      </w:r>
    </w:p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second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edition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IN.SE.CON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confirmed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that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effective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actions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in cyberspace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require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partnership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among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state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industry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academia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and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private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sector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. For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two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days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congress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served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as a platform for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sharing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knowledge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experiences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and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technologies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that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shape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future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security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in a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rapidly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evolving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digital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world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.</w:t>
      </w:r>
    </w:p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We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thank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all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participants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partners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and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speakers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for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their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presence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– and we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already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invite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you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to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next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edition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IN.SE.CON in 2026!</w:t>
      </w:r>
    </w:p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proofErr w:type="spellStart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Honorary</w:t>
      </w:r>
      <w:proofErr w:type="spellEnd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Patrons</w:t>
      </w:r>
      <w:proofErr w:type="spellEnd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:</w:t>
      </w:r>
    </w:p>
    <w:p w:rsidR="00F13C83" w:rsidRPr="00F13C83" w:rsidRDefault="00F13C83" w:rsidP="00F13C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Minister of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National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Defence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Deputy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Prime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Minister Władysław Kosiniak-Kamysz</w:t>
      </w:r>
    </w:p>
    <w:p w:rsidR="00F13C83" w:rsidRPr="00F13C83" w:rsidRDefault="00F13C83" w:rsidP="00F13C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Ministry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Development and Technology</w:t>
      </w:r>
    </w:p>
    <w:p w:rsidR="00F13C83" w:rsidRPr="00F13C83" w:rsidRDefault="00F13C83" w:rsidP="00F13C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Centre for Digital Poland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Projects</w:t>
      </w:r>
      <w:proofErr w:type="spellEnd"/>
    </w:p>
    <w:p w:rsid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Strategic Partner</w:t>
      </w: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– Microsoft – a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global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leader in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innovation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and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cybersecurity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providing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AI,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cloud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and data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protection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solutions.</w:t>
      </w:r>
      <w:proofErr w:type="spellEnd"/>
    </w:p>
    <w:p w:rsid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Gold Partner</w:t>
      </w: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– Bank Pekao S.A. –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expert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in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securing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the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financial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sector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and developing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secure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digital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banking.</w:t>
      </w:r>
    </w:p>
    <w:p w:rsid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Silver Partner</w:t>
      </w: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– T-Mobile –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provider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modern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telecommunications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solutions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and IT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infrastructure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security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services.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</w:p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proofErr w:type="spellStart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lastRenderedPageBreak/>
        <w:t>Bronze</w:t>
      </w:r>
      <w:proofErr w:type="spellEnd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Partner</w:t>
      </w: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– e-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Prinus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–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specialist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in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digital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transformation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and modern IT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solutions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implementation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.</w:t>
      </w:r>
    </w:p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proofErr w:type="spellStart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Expert</w:t>
      </w:r>
      <w:proofErr w:type="spellEnd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Partners:</w:t>
      </w:r>
    </w:p>
    <w:p w:rsidR="00F13C83" w:rsidRPr="00F13C83" w:rsidRDefault="00F13C83" w:rsidP="00F13C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Dell Technologies – leader in hardware and software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supporting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cybersecurity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and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digital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transformation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.</w:t>
      </w:r>
    </w:p>
    <w:p w:rsidR="00F13C83" w:rsidRDefault="00F13C83" w:rsidP="00F13C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Palo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Alto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Networks –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global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giant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in network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security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setting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standards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in Zero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 Trust and AI-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pl-PL"/>
        </w:rPr>
        <w:t>driven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pl-PL"/>
        </w:rPr>
        <w:t>solutions.</w:t>
      </w:r>
    </w:p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Supporting</w:t>
      </w:r>
      <w:proofErr w:type="spellEnd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Partner</w:t>
      </w: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–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Cycommsec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–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Managed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Security Service Provider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offering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advanced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penetration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testing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Red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Teaming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, and SOC as a Service.</w:t>
      </w:r>
    </w:p>
    <w:p w:rsid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proofErr w:type="spellStart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Industry</w:t>
      </w:r>
      <w:proofErr w:type="spellEnd"/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Partner</w:t>
      </w: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– WIŁ-PIB; Central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Military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Recruitment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Centre,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Cyber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Defence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Component,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Expert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Centre for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Cybersecurity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Training, AMW, WAT, ISSA,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CyberWOT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Association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National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Security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Experts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Łukasiewicz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Research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Network –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Industrial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Institute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for Automation and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Measurements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PIAP</w:t>
      </w:r>
      <w:bookmarkStart w:id="0" w:name="_GoBack"/>
      <w:bookmarkEnd w:id="0"/>
    </w:p>
    <w:p w:rsid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Content Partner</w:t>
      </w: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– ISSA,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Safe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Cyberspace Foundation</w:t>
      </w:r>
    </w:p>
    <w:p w:rsid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Media Partner</w:t>
      </w: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– Business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Insider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, RMF FM</w:t>
      </w:r>
    </w:p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Media Collaboration</w:t>
      </w: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–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MilMag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Security OPS, Open Security, Najsłabsze Ogniwo, r360 Interactive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Agency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Association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of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Polish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Cities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, CyberDefence24</w:t>
      </w:r>
    </w:p>
    <w:p w:rsidR="00F13C83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F13C8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Expo Zone Partners</w:t>
      </w:r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–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Sycope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ECSC, Enigma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Cipher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Centre, WIŁ-PIB, CWCR, DK WOC, AMW, WAT, ISSA,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CyberWOT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Stormshield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Dagma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perceptur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BaseLine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Airbus,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Nomios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ePrinus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Youbico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intercede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Rublon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Vector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synergy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CDEX, Media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recovery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,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inetum</w:t>
      </w:r>
      <w:proofErr w:type="spellEnd"/>
    </w:p>
    <w:p w:rsidR="00092679" w:rsidRPr="00F13C83" w:rsidRDefault="00F13C83" w:rsidP="00F13C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More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>at</w:t>
      </w:r>
      <w:proofErr w:type="spellEnd"/>
      <w:r w:rsidRPr="00F13C83">
        <w:rPr>
          <w:rFonts w:ascii="Segoe UI" w:eastAsia="Times New Roman" w:hAnsi="Segoe UI" w:cs="Segoe UI"/>
          <w:sz w:val="24"/>
          <w:szCs w:val="24"/>
          <w:lang w:eastAsia="pl-PL"/>
        </w:rPr>
        <w:t xml:space="preserve">: </w:t>
      </w:r>
      <w:hyperlink r:id="rId5" w:history="1">
        <w:r w:rsidRPr="00F13C8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pl-PL"/>
          </w:rPr>
          <w:t>https://insecon.pl/pl/</w:t>
        </w:r>
      </w:hyperlink>
    </w:p>
    <w:sectPr w:rsidR="00092679" w:rsidRPr="00F13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37A1"/>
    <w:multiLevelType w:val="multilevel"/>
    <w:tmpl w:val="94EC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421BE"/>
    <w:multiLevelType w:val="multilevel"/>
    <w:tmpl w:val="586A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23"/>
    <w:rsid w:val="00092679"/>
    <w:rsid w:val="009A1923"/>
    <w:rsid w:val="00F1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DFCC"/>
  <w15:chartTrackingRefBased/>
  <w15:docId w15:val="{467045AE-8806-4D42-946F-C282905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3C83"/>
    <w:rPr>
      <w:b/>
      <w:bCs/>
    </w:rPr>
  </w:style>
  <w:style w:type="character" w:styleId="Uwydatnienie">
    <w:name w:val="Emphasis"/>
    <w:basedOn w:val="Domylnaczcionkaakapitu"/>
    <w:uiPriority w:val="20"/>
    <w:qFormat/>
    <w:rsid w:val="00F13C8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13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secon.pl/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Grzelska</dc:creator>
  <cp:keywords/>
  <dc:description/>
  <cp:lastModifiedBy>Karolina Grzelska</cp:lastModifiedBy>
  <cp:revision>2</cp:revision>
  <dcterms:created xsi:type="dcterms:W3CDTF">2025-04-15T09:20:00Z</dcterms:created>
  <dcterms:modified xsi:type="dcterms:W3CDTF">2025-04-15T09:23:00Z</dcterms:modified>
</cp:coreProperties>
</file>